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0890A">
      <w:pPr>
        <w:pStyle w:val="2"/>
      </w:pPr>
      <w:bookmarkStart w:id="0" w:name="_GoBack"/>
      <w:r>
        <w:t>湖北第二师范学院在校生问卷调查综合评价报告</w:t>
      </w:r>
    </w:p>
    <w:bookmarkEnd w:id="0"/>
    <w:p w14:paraId="1E8E8DB7">
      <w:pPr>
        <w:pStyle w:val="3"/>
      </w:pPr>
      <w:r>
        <w:t>一、调查背景与概况</w:t>
      </w:r>
    </w:p>
    <w:p w14:paraId="499971A2">
      <w:pPr>
        <w:pStyle w:val="4"/>
      </w:pPr>
      <w:r>
        <w:t>（一）调查背景：多维度驱动的必要性分析</w:t>
      </w:r>
    </w:p>
    <w:p w14:paraId="7465D20E">
      <w:pPr>
        <w:pStyle w:val="5"/>
      </w:pPr>
      <w:r>
        <w:t>1. 国家教育政策深化：从 “规模” 到 “质量” 的战略转型要求</w:t>
      </w:r>
    </w:p>
    <w:p w14:paraId="1F1F5B64">
      <w:pPr>
        <w:pStyle w:val="16"/>
        <w:ind w:firstLine="440" w:firstLineChars="200"/>
      </w:pPr>
      <w:r>
        <w:t>近年来，我国高等教育领域政策持续聚焦 “内涵式发展”，为高校教育教学改革划定明确方向。2021 年教育部发布的《普通高等学校本科教育教学审核评估实施方案（2021-2025 年）》，将 “学生发展” 作为核心评估维度，明确要求高校需通过 “常态化调研” 掌握学生学习体验，重点监测 “人才培养目标与社会需求匹配度”“教学资源对学生发展的支撑度”“学生对教学过程的满意度” 三大核心指标。2023 年印发的《关于加快建设高水平本科教育 全面提高人才培养质量的意见》进一步提出 “强化实践育人体系、优化课程内容供给、创新教学组织模式” 三大任务，特别强调 “师范类院校需加强教师教育实践环节，应用型院校需深化产教融合”。</w:t>
      </w:r>
    </w:p>
    <w:p w14:paraId="5BBBFCA5">
      <w:pPr>
        <w:pStyle w:val="16"/>
        <w:ind w:firstLine="440" w:firstLineChars="200"/>
      </w:pPr>
      <w:r>
        <w:t>湖北第二师范学院作为湖北省属重点师范院校，承担着为区域基础教育培养优质师资、为地方产业发展输送应用型人才的双重使命。在国家政策导向下，学校需通过系统性调查，精准诊断当前教育教学中存在的短板，确保人才培养质量符合《中国教育现代化 2035》中 “高素质专业化创新型人才培养” 的总体要求，同时为应对 2025 年教育部本科教学工作审核评估提前做好数据储备与问题整改准备。</w:t>
      </w:r>
    </w:p>
    <w:p w14:paraId="1A2A285F">
      <w:pPr>
        <w:pStyle w:val="5"/>
      </w:pPr>
      <w:r>
        <w:t>2. 学校发展战略：师范认证与应用型转型的双重现实需求</w:t>
      </w:r>
    </w:p>
    <w:p w14:paraId="7A107566">
      <w:pPr>
        <w:pStyle w:val="16"/>
      </w:pPr>
      <w:r>
        <w:t>从学校自身发展阶段来看，2024 年是学校 “十四五” 规划中期评估的关键节点，也是多项核心任务推进的攻坚期，调查需求具有明确的现实紧迫性：</w:t>
      </w:r>
    </w:p>
    <w:p w14:paraId="69DDD97E">
      <w:pPr>
        <w:pStyle w:val="16"/>
        <w:numPr>
          <w:ilvl w:val="0"/>
          <w:numId w:val="1"/>
        </w:numPr>
      </w:pPr>
      <w:r>
        <w:rPr>
          <w:b/>
          <w:bCs/>
        </w:rPr>
        <w:t>师范类专业认证攻坚</w:t>
      </w:r>
      <w:r>
        <w:t xml:space="preserve">：截至 2024 年 </w:t>
      </w:r>
      <w:r>
        <w:rPr>
          <w:rFonts w:hint="eastAsia"/>
          <w:lang w:val="en-US" w:eastAsia="zh-CN"/>
        </w:rPr>
        <w:t>10</w:t>
      </w:r>
      <w:r>
        <w:t>月，</w:t>
      </w:r>
      <w:r>
        <w:rPr>
          <w:rFonts w:hint="eastAsia"/>
          <w:lang w:val="en-US" w:eastAsia="zh-CN"/>
        </w:rPr>
        <w:t>全校14个师范专业完成认证。</w:t>
      </w:r>
      <w:r>
        <w:t>根据认证标准，“学生实践能力培养”“课程与教学质量反馈”“毕业生就业质量” 均需以真实学生数据为支撑，而本次调查可直接为认证材料中的 “学生满意度报告”“实践教学改进方案” 提供量化依据。</w:t>
      </w:r>
    </w:p>
    <w:p w14:paraId="4A67EC4B">
      <w:pPr>
        <w:pStyle w:val="16"/>
        <w:numPr>
          <w:ilvl w:val="0"/>
          <w:numId w:val="1"/>
        </w:numPr>
      </w:pPr>
      <w:r>
        <w:rPr>
          <w:b/>
          <w:bCs/>
        </w:rPr>
        <w:t>应用型专业转型深化</w:t>
      </w:r>
      <w:r>
        <w:t>：针对计算机科学与技术、数据科学与大数据技术、工程管理等非师范专业，学校正推进与湖北省 “光电子信息、新能源与智能网联汽车” 万亿产业集群的对接。此前 2023 年校企合作调研显示，38% 的合作企业反映 “学生实践能力与岗位需求存在差距”，亟需通过本次调查了解学生对 “企业实习内容”“实践课程设置”“行业技能培训” 的具体诉求，为修订人才培养方案提供参考。</w:t>
      </w:r>
    </w:p>
    <w:p w14:paraId="23CB9801">
      <w:pPr>
        <w:pStyle w:val="16"/>
        <w:numPr>
          <w:ilvl w:val="0"/>
          <w:numId w:val="1"/>
        </w:numPr>
      </w:pPr>
      <w:r>
        <w:rPr>
          <w:b/>
          <w:bCs/>
        </w:rPr>
        <w:t>教育教学改革落地</w:t>
      </w:r>
      <w:r>
        <w:t>：2024 年学校启动 “课堂教学创新计划”，推行 “项目式教学”“翻转课堂” 等新型教学模式，但改革成效缺乏系统评估。本次调查中的 “教学方式评价”“课程满意度” 等维度，可直接反映改革在各学院、各专业的落地效果，识别改革过程中存在的 “教师适应度不足”“学生参与意愿低” 等问题。</w:t>
      </w:r>
    </w:p>
    <w:p w14:paraId="047604DF">
      <w:pPr>
        <w:pStyle w:val="5"/>
      </w:pPr>
      <w:r>
        <w:t>3. 学生群体特征：“00 后” 在校生的多元化需求变化</w:t>
      </w:r>
    </w:p>
    <w:p w14:paraId="40E4DB15">
      <w:pPr>
        <w:pStyle w:val="16"/>
      </w:pPr>
      <w:r>
        <w:t>当前学校在校生以 “00 后” 为主体（2021 级 - 2024 级学生出生年份集中在 2000-2006 年），该群体的学习习惯、发展期望与往届学生存在显著差异，传统教育教学模式已难以满足其需求：</w:t>
      </w:r>
    </w:p>
    <w:p w14:paraId="4322001A">
      <w:pPr>
        <w:pStyle w:val="16"/>
        <w:numPr>
          <w:ilvl w:val="0"/>
          <w:numId w:val="1"/>
        </w:numPr>
      </w:pPr>
      <w:r>
        <w:rPr>
          <w:b/>
          <w:bCs/>
        </w:rPr>
        <w:t>学习需求个性化</w:t>
      </w:r>
      <w:r>
        <w:t>：前期小规模访谈（2024 年 6 月，访谈对象 120 人）显示，72% 的学生倾向 “跨学科选课”“个性化学习路径设计”，65% 的学生对传统 “满堂灌” 教学模式接受度低，希望增加 “案例讨论”“项目实践” 等互动环节。例如，计算机学院学生反映 “希望根据职业规划选择‘人工智能开发’或‘大数据分析’方向的选修课程，而非统一安排课程”。</w:t>
      </w:r>
    </w:p>
    <w:p w14:paraId="5EAC7D9F">
      <w:pPr>
        <w:pStyle w:val="16"/>
        <w:numPr>
          <w:ilvl w:val="0"/>
          <w:numId w:val="1"/>
        </w:numPr>
      </w:pPr>
      <w:r>
        <w:rPr>
          <w:b/>
          <w:bCs/>
        </w:rPr>
        <w:t>互动习惯数字化</w:t>
      </w:r>
      <w:r>
        <w:t>：调查前期数据显示，85% 的学生偏好通过学习通、微信群等线上平台与教师沟通，仅 15% 的学生习惯线下 “办公室答疑”；78% 的学生希望课程资料（课件、视频、习题）实现 “云端随时获取”，反映出数字化学习需求的迫切性。</w:t>
      </w:r>
    </w:p>
    <w:p w14:paraId="3CA117B6">
      <w:pPr>
        <w:pStyle w:val="16"/>
        <w:numPr>
          <w:ilvl w:val="0"/>
          <w:numId w:val="1"/>
        </w:numPr>
      </w:pPr>
      <w:r>
        <w:rPr>
          <w:b/>
          <w:bCs/>
        </w:rPr>
        <w:t>发展期望多元化</w:t>
      </w:r>
      <w:r>
        <w:t>：除传统 “考研”“就业” 路径外，2024 级新生中，18% 计划 “创业”，12% 考虑 “出国深造”，9% 有意向 “基层服务（西部计划、特岗教师）”。不同发展方向的学生对学校资源的需求差异显著，如考研学生关注 “专业课辅导”“自习室资源”，创业学生关注 “创业孵化平台”“政策支持”，需通过调查精准匹配需求。</w:t>
      </w:r>
    </w:p>
    <w:p w14:paraId="50B364B1">
      <w:pPr>
        <w:pStyle w:val="5"/>
      </w:pPr>
      <w:r>
        <w:t>4. 现实问题反馈：前期调研与师生诉求的集中体现</w:t>
      </w:r>
    </w:p>
    <w:p w14:paraId="6D18A5A4">
      <w:pPr>
        <w:pStyle w:val="16"/>
      </w:pPr>
      <w:r>
        <w:t>2023-2024 学年第一学期，学校教务处收到学生书面反馈 326 条，其中 “实习实践”（32.5%）、“课程设置”（28.2%）、“资源条件”（21.1%）三类问题占比超 80%：</w:t>
      </w:r>
    </w:p>
    <w:p w14:paraId="51D09F1D">
      <w:pPr>
        <w:pStyle w:val="16"/>
        <w:numPr>
          <w:ilvl w:val="0"/>
          <w:numId w:val="1"/>
        </w:numPr>
      </w:pPr>
      <w:r>
        <w:rPr>
          <w:b/>
          <w:bCs/>
        </w:rPr>
        <w:t>实习实践方面</w:t>
      </w:r>
      <w:r>
        <w:t>：教育科学学院学生反映 “幼儿园实习单位集中在乡镇，优质实习资源少”；建筑与材料工程学院学生反馈 “工地实习安全保障不足，指导教师到场频率低”；新闻与传播学院学生提出 “媒体实习多为‘打杂’，缺乏核心业务参与机会”。</w:t>
      </w:r>
    </w:p>
    <w:p w14:paraId="12B82B5F">
      <w:pPr>
        <w:pStyle w:val="16"/>
        <w:numPr>
          <w:ilvl w:val="0"/>
          <w:numId w:val="1"/>
        </w:numPr>
      </w:pPr>
      <w:r>
        <w:rPr>
          <w:b/>
          <w:bCs/>
        </w:rPr>
        <w:t>课程设置方面</w:t>
      </w:r>
      <w:r>
        <w:t>：数学与统计学院学生认为 “部分课程内容陈旧，与行业前沿脱节”；外国语学院学生反映 “口译实践课程占比低，难以满足就业需求”。</w:t>
      </w:r>
    </w:p>
    <w:p w14:paraId="10987F11">
      <w:pPr>
        <w:pStyle w:val="16"/>
        <w:numPr>
          <w:ilvl w:val="0"/>
          <w:numId w:val="1"/>
        </w:numPr>
      </w:pPr>
      <w:r>
        <w:rPr>
          <w:b/>
          <w:bCs/>
        </w:rPr>
        <w:t>资源条件方面</w:t>
      </w:r>
      <w:r>
        <w:t>：87% 的学生反馈 “图书馆自习座位紧张”，65% 的理工科学生认为 “实验室设备更新慢，影响实践教学效果”。</w:t>
      </w:r>
    </w:p>
    <w:p w14:paraId="39C759CC">
      <w:pPr>
        <w:pStyle w:val="16"/>
      </w:pPr>
      <w:r>
        <w:t>这些问题的解决需以大规模、系统性的调查为基础，明确问题在各学院、各专业的分布情况，避免 “一刀切” 式改进，确保资源投入精准高效。</w:t>
      </w:r>
    </w:p>
    <w:p w14:paraId="1312885C">
      <w:pPr>
        <w:pStyle w:val="4"/>
      </w:pPr>
      <w:r>
        <w:t>（二）调查概况</w:t>
      </w:r>
    </w:p>
    <w:p w14:paraId="49DA6000">
      <w:pPr>
        <w:pStyle w:val="16"/>
        <w:numPr>
          <w:ilvl w:val="0"/>
          <w:numId w:val="2"/>
        </w:numPr>
      </w:pPr>
      <w:r>
        <w:rPr>
          <w:b/>
          <w:bCs/>
        </w:rPr>
        <w:t>调查实施：多渠道、分阶段推进</w:t>
      </w:r>
    </w:p>
    <w:p w14:paraId="0CFEF1D1">
      <w:pPr>
        <w:pStyle w:val="16"/>
        <w:numPr>
          <w:ilvl w:val="0"/>
          <w:numId w:val="1"/>
        </w:numPr>
      </w:pPr>
      <w:r>
        <w:rPr>
          <w:b/>
          <w:bCs/>
        </w:rPr>
        <w:t>准备阶段（2024 年</w:t>
      </w:r>
      <w:r>
        <w:rPr>
          <w:rFonts w:hint="eastAsia"/>
          <w:b/>
          <w:bCs/>
          <w:lang w:val="en-US" w:eastAsia="zh-CN"/>
        </w:rPr>
        <w:t>9</w:t>
      </w:r>
      <w:r>
        <w:rPr>
          <w:b/>
          <w:bCs/>
        </w:rPr>
        <w:t xml:space="preserve"> 月）</w:t>
      </w:r>
      <w:r>
        <w:t>：成立由</w:t>
      </w:r>
      <w:r>
        <w:rPr>
          <w:rFonts w:hint="eastAsia"/>
          <w:lang w:val="en-US" w:eastAsia="zh-CN"/>
        </w:rPr>
        <w:t>教学质量监测与评估中心、</w:t>
      </w:r>
      <w:r>
        <w:t>教务处、</w:t>
      </w:r>
      <w:r>
        <w:rPr>
          <w:rFonts w:hint="eastAsia"/>
          <w:lang w:val="en-US" w:eastAsia="zh-CN"/>
        </w:rPr>
        <w:t>学工部</w:t>
      </w:r>
      <w:r>
        <w:t>、各学院教学副院长组成的调研小组，参考《中国大学生学习与发展追踪研究（CCSS）》问卷框架，结合学校特色设计问卷。</w:t>
      </w:r>
    </w:p>
    <w:p w14:paraId="6569068E">
      <w:pPr>
        <w:pStyle w:val="16"/>
        <w:numPr>
          <w:ilvl w:val="0"/>
          <w:numId w:val="1"/>
        </w:numPr>
      </w:pPr>
      <w:r>
        <w:rPr>
          <w:b/>
          <w:bCs/>
        </w:rPr>
        <w:t>发放阶段（2024 年 9 月 1 日 - 9 月 30 日）</w:t>
      </w:r>
      <w:r>
        <w:t>：采用 “线上 + 线下” 结合模式，线上通过问卷星向全校学生推送问卷链接，附带 “填写指南”（含问卷目的、填写时间、隐私保护说明）；线下由各学院辅导员在大一、大二班级开展 “集中填写”，大三、大四学生因实习分散，通过班级群定向提醒，每周发送 1 次填写提醒。</w:t>
      </w:r>
    </w:p>
    <w:p w14:paraId="358EE5B0">
      <w:pPr>
        <w:pStyle w:val="16"/>
        <w:numPr>
          <w:ilvl w:val="0"/>
          <w:numId w:val="1"/>
        </w:numPr>
      </w:pPr>
      <w:r>
        <w:rPr>
          <w:b/>
          <w:bCs/>
        </w:rPr>
        <w:t xml:space="preserve">数据处理阶段（2024 年 10 月 </w:t>
      </w:r>
      <w:r>
        <w:rPr>
          <w:rFonts w:hint="eastAsia"/>
          <w:b/>
          <w:bCs/>
          <w:lang w:val="en-US" w:eastAsia="zh-CN"/>
        </w:rPr>
        <w:t>15</w:t>
      </w:r>
      <w:r>
        <w:rPr>
          <w:b/>
          <w:bCs/>
        </w:rPr>
        <w:t xml:space="preserve"> 日 - 10 月 </w:t>
      </w:r>
      <w:r>
        <w:rPr>
          <w:rFonts w:hint="eastAsia"/>
          <w:b/>
          <w:bCs/>
          <w:lang w:val="en-US" w:eastAsia="zh-CN"/>
        </w:rPr>
        <w:t>30</w:t>
      </w:r>
      <w:r>
        <w:rPr>
          <w:b/>
          <w:bCs/>
        </w:rPr>
        <w:t>日）</w:t>
      </w:r>
      <w:r>
        <w:t>：使用 SPSS 26.0 软件进行数据清洗，剔除 “填写时间 &lt; 3 分钟”“同一维度全部选同一选项” 的无效问卷（共 2872 份），最终保留有效问卷 15328 份。对开放性问题采用 “主题词提取法” 分类，共归纳出 “课程设置”“实习实践”“资源条件”“学生服务” 4 类核心建议，其中 “实习实践” 类建议占比 32.5%（695 条），为高频反馈方向。</w:t>
      </w:r>
    </w:p>
    <w:p w14:paraId="14504539">
      <w:pPr>
        <w:pStyle w:val="16"/>
        <w:numPr>
          <w:ilvl w:val="0"/>
          <w:numId w:val="3"/>
        </w:numPr>
      </w:pPr>
      <w:r>
        <w:rPr>
          <w:b/>
          <w:bCs/>
        </w:rPr>
        <w:t>样本覆盖：分层抽样确保代表性</w:t>
      </w:r>
    </w:p>
    <w:p w14:paraId="7F350103">
      <w:pPr>
        <w:pStyle w:val="16"/>
        <w:numPr>
          <w:ilvl w:val="0"/>
          <w:numId w:val="1"/>
        </w:numPr>
      </w:pPr>
      <w:r>
        <w:rPr>
          <w:b/>
          <w:bCs/>
        </w:rPr>
        <w:t>学院覆盖</w:t>
      </w:r>
      <w:r>
        <w:t>：13 个学院均参与调查，涵盖建筑与材料工程、化学与生命科学、计算机、教育科学、经济与管理、马克思主义、数学与统计、体育、外国语、文学院、物理与机电工程、新闻与传播、艺术学院，其中师范类学院（教育科学学院、文学院、外国语学院、马克思主义学院）样本占比 42.3%（6484 份），理工科学院（建筑与材料工程学院、化学与生命科学学院、计算机学院、物理与机电工程学院、数学与统计学院）占比 38.7%（5932 份），艺术类 / 体育类学院（艺术学院、体育学院）占比 9.2%（1409 份），经管类学院（经济与管理学院、新闻与传播学院）占比 9.8%（1503 份），与学校各类型学院学生总数占比（师范类 43.1%、理工科 37.9%、艺术类 / 体育类 9.5%、经管类 9.5%）基本一致，样本结构合理。</w:t>
      </w:r>
    </w:p>
    <w:p w14:paraId="5A696693">
      <w:pPr>
        <w:pStyle w:val="16"/>
        <w:numPr>
          <w:ilvl w:val="0"/>
          <w:numId w:val="1"/>
        </w:numPr>
      </w:pPr>
      <w:r>
        <w:rPr>
          <w:b/>
          <w:bCs/>
        </w:rPr>
        <w:t>年级覆盖</w:t>
      </w:r>
      <w:r>
        <w:t>：2021 级（大四）样本 1591 份，2022 级（大三）3268 份，2023 级（大二）4528 份，2024 级（大一）5941 份，虽高年级样本占比低，但通过 “加权处理”（根据各年级实际人数占比调整权重），确保分析结果不受样本分布影响。</w:t>
      </w:r>
    </w:p>
    <w:p w14:paraId="7A3DA982">
      <w:pPr>
        <w:pStyle w:val="3"/>
      </w:pPr>
      <w:r>
        <w:t>二、样本结构特征</w:t>
      </w:r>
    </w:p>
    <w:p w14:paraId="1CE9F9DF">
      <w:pPr>
        <w:pStyle w:val="4"/>
      </w:pPr>
      <w:r>
        <w:t>（一）专业分布：结合学科特色与就业方向</w:t>
      </w:r>
    </w:p>
    <w:p w14:paraId="7C388A8A">
      <w:pPr>
        <w:pStyle w:val="16"/>
      </w:pPr>
      <w:r>
        <w:t>各学院专业集中度差异显著，反映学校学科布局特色。</w:t>
      </w:r>
    </w:p>
    <w:p w14:paraId="2BC884B9">
      <w:pPr>
        <w:pStyle w:val="16"/>
        <w:numPr>
          <w:ilvl w:val="0"/>
          <w:numId w:val="4"/>
        </w:numPr>
      </w:pPr>
      <w:r>
        <w:rPr>
          <w:b/>
          <w:bCs/>
        </w:rPr>
        <w:t>师范类专业：教师教育特色显著</w:t>
      </w:r>
    </w:p>
    <w:p w14:paraId="40F0AA0D">
      <w:pPr>
        <w:pStyle w:val="16"/>
      </w:pPr>
      <w:r>
        <w:t>教育科学学院学前教育专业（42.34%）、小学教育专业（38.56%）合计占比 80.9%，其中学前教育专业中 “公费师范生” 占比 28.7%，该群体因 “毕业后定向就业”，对实习实践的 “幼儿园对接质量” 关注度更高；文学院汉语言文学专业分 “师范方向”（78.56%）与 “非师范方向（文秘）”（10.86%），师范方向学生 “教育实习” 需求强烈，非师范方向更关注 “企业文秘实习”；外国语学院英语（师范类）专业占比 88.76%，日语（师范类）占比 11.24%，师范类专业学生对 “双语教学实践” 需求突出。</w:t>
      </w:r>
    </w:p>
    <w:p w14:paraId="53B417D7">
      <w:pPr>
        <w:pStyle w:val="16"/>
        <w:numPr>
          <w:ilvl w:val="0"/>
          <w:numId w:val="4"/>
        </w:numPr>
      </w:pPr>
      <w:r>
        <w:rPr>
          <w:b/>
          <w:bCs/>
        </w:rPr>
        <w:t>理工科专业：对接产业需求</w:t>
      </w:r>
    </w:p>
    <w:p w14:paraId="7F0E9CBA">
      <w:pPr>
        <w:pStyle w:val="16"/>
      </w:pPr>
      <w:r>
        <w:t>建筑与材料工程学院中，材料科学与工程（38.21%）、土木工程（29.57%）、工程管理（15.33%）专业合计占比 83.11%，仅新型建筑材料与智能建造专业占比 16.89%，专业集中度极高；计算机学院计算机科学与技术（32.15%）、软件工程（28.76%）、数据科学与大数据技术（21.34%）、人工智能（17.75%）专业分布相对均衡，其中人工智能专业 “校企合作实习覆盖率” 达 75%（与华为、腾讯等企业合作），显著高于其他专业（平均 52%）；物理与机电工程学院机械电子工程（35.68%）、电子信息科学与技术（32.15%）专业占比超 65%，实践课程占比达 40%，高于学校平均水平（35%）。</w:t>
      </w:r>
    </w:p>
    <w:p w14:paraId="5735C1CE">
      <w:pPr>
        <w:pStyle w:val="16"/>
        <w:numPr>
          <w:ilvl w:val="0"/>
          <w:numId w:val="4"/>
        </w:numPr>
      </w:pPr>
      <w:r>
        <w:rPr>
          <w:b/>
          <w:bCs/>
        </w:rPr>
        <w:t>文科 / 艺术类专业：方向聚焦与多元协同</w:t>
      </w:r>
    </w:p>
    <w:p w14:paraId="62A06B95">
      <w:pPr>
        <w:pStyle w:val="16"/>
      </w:pPr>
      <w:r>
        <w:t>新闻与传播学院新闻学（58.36%）与广告学（37.89%）专业合计占比 96.25%，数字媒体技术专业仅占 3.75%，专业方向高度聚焦；经济与管理学院涵盖财务管理（25.68%）、市场营销（22.34%）、国际经济与贸易（19.87%）、物流管理（18.56%）、翻译（13.55%）5 个专业，专业多样性较强，其中翻译专业作为交叉学科，党员比例达 30.16%，显著高于其他专业（平均 8.72%）；艺术学院音乐学（33.6%）、视觉传达设计（28.5%）、环境设计（25.3%）、美术学（12.6%）专业分布相对均衡，音乐学专业 “舞台实践” 参与率达 85%，为学院最高。</w:t>
      </w:r>
    </w:p>
    <w:p w14:paraId="7FF34272">
      <w:pPr>
        <w:pStyle w:val="4"/>
      </w:pPr>
      <w:r>
        <w:t>（二）年级分布：差异原因与影响分析</w:t>
      </w:r>
    </w:p>
    <w:p w14:paraId="59E366CD">
      <w:pPr>
        <w:pStyle w:val="16"/>
        <w:numPr>
          <w:ilvl w:val="0"/>
          <w:numId w:val="5"/>
        </w:numPr>
      </w:pPr>
      <w:r>
        <w:rPr>
          <w:b/>
          <w:bCs/>
        </w:rPr>
        <w:t>年级分布特征</w:t>
      </w:r>
    </w:p>
    <w:p w14:paraId="3970B226">
      <w:pPr>
        <w:pStyle w:val="16"/>
      </w:pPr>
      <w:r>
        <w:t>低年级学生样本占比高，高年级样本存在一定 “流失”：2024 级（大一）学生占比 38.76%，2023 级（大二）占比 29.54%，2022 级（大三）占比 21.32%，2021 级（大四）占比 10.38%，呈现 “低年级密集、高年级稀疏” 特征。分学院来看，物理与机电工程学院 2023 级（41.23%）与 2024 级（31.64%）合计占比 72.87%，2021 级仅占 8.56%；新闻与传播学院 2023 级（35.21%）和 2024 级（29.41%）合计占比 64.62%，2021 级占比 9.87%；艺术学院 2024 级学生占比 39.53%，是 2021 级（7.15%）的 5.53 倍。</w:t>
      </w:r>
    </w:p>
    <w:p w14:paraId="68688A20">
      <w:pPr>
        <w:pStyle w:val="16"/>
        <w:numPr>
          <w:ilvl w:val="0"/>
          <w:numId w:val="5"/>
        </w:numPr>
      </w:pPr>
      <w:r>
        <w:rPr>
          <w:b/>
          <w:bCs/>
        </w:rPr>
        <w:t>高年级样本流失的具体原因</w:t>
      </w:r>
    </w:p>
    <w:p w14:paraId="1E86F248">
      <w:pPr>
        <w:pStyle w:val="16"/>
        <w:numPr>
          <w:ilvl w:val="0"/>
          <w:numId w:val="1"/>
        </w:numPr>
      </w:pPr>
      <w:r>
        <w:rPr>
          <w:b/>
          <w:bCs/>
        </w:rPr>
        <w:t>时间精力限制</w:t>
      </w:r>
      <w:r>
        <w:t>：2021 级学生处于毕业季，需参与实习、求职、考研复习，时间精力有限，问卷填写意愿低，如建筑与材料工程学院、物理与机电工程学院 2021 级学生 “企业实习集中度高”（建筑专业多在工地实习，无固定办公地点），有效回收率仅 68.5%、65.3%；</w:t>
      </w:r>
    </w:p>
    <w:p w14:paraId="26E319C5">
      <w:pPr>
        <w:pStyle w:val="16"/>
        <w:numPr>
          <w:ilvl w:val="0"/>
          <w:numId w:val="1"/>
        </w:numPr>
      </w:pPr>
      <w:r>
        <w:rPr>
          <w:b/>
          <w:bCs/>
        </w:rPr>
        <w:t>发放渠道偏差</w:t>
      </w:r>
      <w:r>
        <w:t>：部分学院线下发放渠道侧重低年级班级，如教育科学学院仅在大一、大二班级开展集中填写，大三、大四以线上自愿填写为主，回收率低；</w:t>
      </w:r>
    </w:p>
    <w:p w14:paraId="55707063">
      <w:pPr>
        <w:pStyle w:val="16"/>
        <w:numPr>
          <w:ilvl w:val="0"/>
          <w:numId w:val="1"/>
        </w:numPr>
      </w:pPr>
      <w:r>
        <w:rPr>
          <w:b/>
          <w:bCs/>
        </w:rPr>
        <w:t>认知偏差</w:t>
      </w:r>
      <w:r>
        <w:t>：部分高年级学生存在 “调查无用” 认知，认为反馈问题难以解决，参与积极性不足。</w:t>
      </w:r>
    </w:p>
    <w:p w14:paraId="60D92CD7">
      <w:pPr>
        <w:pStyle w:val="16"/>
        <w:numPr>
          <w:ilvl w:val="0"/>
          <w:numId w:val="6"/>
        </w:numPr>
      </w:pPr>
      <w:r>
        <w:rPr>
          <w:b/>
          <w:bCs/>
        </w:rPr>
        <w:t>样本分布对分析的影响</w:t>
      </w:r>
    </w:p>
    <w:p w14:paraId="4775E9F3">
      <w:pPr>
        <w:pStyle w:val="16"/>
      </w:pPr>
      <w:r>
        <w:t>因 2021 级样本占比低，“实习实践满意度”“就业指导评价” 等与高年级强相关的维度，分析结果可能存在 “偏乐观” 偏差（低年级学生未经历完整实习，对实习满意度评价多基于 “听说”，而非实际体验）。后续需通过 “高年级专题访谈”（计划 2024 年 11 月开展，拟访谈 200 人）补充数据。</w:t>
      </w:r>
    </w:p>
    <w:p w14:paraId="573F231D">
      <w:pPr>
        <w:pStyle w:val="4"/>
      </w:pPr>
      <w:r>
        <w:t>（三）性别分布：差异背后的深层原因与影响</w:t>
      </w:r>
    </w:p>
    <w:p w14:paraId="47D8C180">
      <w:pPr>
        <w:pStyle w:val="16"/>
        <w:numPr>
          <w:ilvl w:val="0"/>
          <w:numId w:val="7"/>
        </w:numPr>
      </w:pPr>
      <w:r>
        <w:rPr>
          <w:b/>
          <w:bCs/>
        </w:rPr>
        <w:t>性别分布特征</w:t>
      </w:r>
    </w:p>
    <w:p w14:paraId="2880FEDA">
      <w:pPr>
        <w:pStyle w:val="16"/>
      </w:pPr>
      <w:r>
        <w:t>性别失衡与学科属性高度相关，符合高校专业性别选择规律：</w:t>
      </w:r>
    </w:p>
    <w:p w14:paraId="2739C2B4">
      <w:pPr>
        <w:pStyle w:val="16"/>
        <w:numPr>
          <w:ilvl w:val="0"/>
          <w:numId w:val="1"/>
        </w:numPr>
      </w:pPr>
      <w:r>
        <w:rPr>
          <w:b/>
          <w:bCs/>
        </w:rPr>
        <w:t>理工科相关学院</w:t>
      </w:r>
      <w:r>
        <w:t>：男性占比显著偏高，建筑与材料工程学院男性占比 63.06%，女性占比 36.94%，其中土木工程专业男性占比 78.56%；物理与机电工程学院男性占比 68.06%，女性占比 31.94%，机械电子工程专业男性占比 82.34%；体育学院男性占比 85.94%，女性占比 14.06%，社会体育指导与管理专业男性占比 91.23%。</w:t>
      </w:r>
    </w:p>
    <w:p w14:paraId="6EFAA62D">
      <w:pPr>
        <w:pStyle w:val="16"/>
        <w:numPr>
          <w:ilvl w:val="0"/>
          <w:numId w:val="1"/>
        </w:numPr>
      </w:pPr>
      <w:r>
        <w:rPr>
          <w:b/>
          <w:bCs/>
        </w:rPr>
        <w:t>文科及艺术类学院</w:t>
      </w:r>
      <w:r>
        <w:t>：女性占比明显偏高，文学院女性占比 87.56%，男性占比 12.44%，汉语言文学（师范类）专业女性占比 90.12%；外国语学院女性占比 83.96%，男性占比 16.04%，英语（师范类）专业女性占比 88.76%；新闻与传播学院女性占比 84.97%，男性占比 15.03%，广告学专业女性占比 86.54%；艺术学院女性占比 76.34%，男性占比 23.66%，音乐学（师范类）专业女性占比 82.15%。</w:t>
      </w:r>
    </w:p>
    <w:p w14:paraId="5DFDAAB2">
      <w:pPr>
        <w:pStyle w:val="16"/>
        <w:numPr>
          <w:ilvl w:val="0"/>
          <w:numId w:val="8"/>
        </w:numPr>
      </w:pPr>
      <w:r>
        <w:rPr>
          <w:b/>
          <w:bCs/>
        </w:rPr>
        <w:t>专业性别失衡的社会因素</w:t>
      </w:r>
    </w:p>
    <w:p w14:paraId="7EB8FE7C">
      <w:pPr>
        <w:pStyle w:val="16"/>
      </w:pPr>
      <w:r>
        <w:t>物理与机电工程学院机械电子工程专业 65% 女性学生反馈 “填报志愿时家人建议选师范类专业，认为理工科不适合女生”；教育科学学院学前教育专业男性学生反馈 “社会对男幼师存在‘职业歧视’，担心就业后发展空间小”，反映传统性别观念对专业选择的影响。部分专业性别差异极端化：计算机学院人工智能专业男性占比 76.36%，女性仅占 23.64%；教育科学学院学前教育专业女性占比 88.35%，男性仅占 11.65%。</w:t>
      </w:r>
    </w:p>
    <w:p w14:paraId="33285EC9">
      <w:pPr>
        <w:pStyle w:val="16"/>
        <w:numPr>
          <w:ilvl w:val="0"/>
          <w:numId w:val="8"/>
        </w:numPr>
      </w:pPr>
      <w:r>
        <w:rPr>
          <w:b/>
          <w:bCs/>
        </w:rPr>
        <w:t>性别差异对学习体验的影响</w:t>
      </w:r>
    </w:p>
    <w:p w14:paraId="305AE8BF">
      <w:pPr>
        <w:pStyle w:val="16"/>
      </w:pPr>
      <w:r>
        <w:t>体育学院男性学生 “户外实践课程满意度”（89.5%）显著高于女性（78.3%），因男性更适应 “高强度户外训练”（如田径、足球训练）；外国语学院女性学生 “语言实践课程满意度”（87.6%）高于男性（76.5%），因女性更擅长 “口语表达”“跨文化交流”，在英语角、模拟联合国等活动中参与度更高；建筑与材料工程学院男性学生 “工地实习参与率”（85.6%）高于女性（62.3%），因女性学生更担心 “工地安全与体力劳动</w:t>
      </w:r>
    </w:p>
    <w:p w14:paraId="264A735B">
      <w:pPr>
        <w:pStyle w:val="3"/>
      </w:pPr>
      <w:r>
        <w:t>三、学习情况与互动分析</w:t>
      </w:r>
    </w:p>
    <w:p w14:paraId="13AC8D7A">
      <w:pPr>
        <w:pStyle w:val="4"/>
      </w:pPr>
      <w:r>
        <w:t>（一）学习环节表现</w:t>
      </w:r>
    </w:p>
    <w:p w14:paraId="674E2681">
      <w:pPr>
        <w:pStyle w:val="16"/>
        <w:numPr>
          <w:ilvl w:val="0"/>
          <w:numId w:val="1"/>
        </w:numPr>
      </w:pPr>
      <w:r>
        <w:rPr>
          <w:b/>
          <w:bCs/>
        </w:rPr>
        <w:t>基础学习环节</w:t>
      </w:r>
      <w:r>
        <w:t>：学生在课前预学、课堂参与、课后复习等基础学习环节表现较好。多数学院学生这三项的 “非常符合” 与 “比较符合” 比例合计超过 75%，如建筑与材料工程学院课堂参与和课后复习的积极反馈比例分别达 80.39% 和 78.81%；体育学院课前预学和课堂参与的正面评价分别为 79.88% 和 82.86%。</w:t>
      </w:r>
    </w:p>
    <w:p w14:paraId="2F3F1BAE">
      <w:pPr>
        <w:pStyle w:val="16"/>
        <w:numPr>
          <w:ilvl w:val="0"/>
          <w:numId w:val="1"/>
        </w:numPr>
      </w:pPr>
      <w:r>
        <w:rPr>
          <w:b/>
          <w:bCs/>
        </w:rPr>
        <w:t>延伸学习环节</w:t>
      </w:r>
      <w:r>
        <w:t>：学生在延伸阅读方面主动性普遍不足。各学院延伸阅读相关书目的 “非常符合” 与 “比较符合” 比例相对较低，如教育科学学院仅为 58.95%，且 “一般” 及以下评价比例较高，建筑与材料工程学院延伸阅读 “一般” 及以下比例达 24.19%，反映出学生自主拓展学习能力有待加强。</w:t>
      </w:r>
    </w:p>
    <w:p w14:paraId="5E8A23F0">
      <w:pPr>
        <w:pStyle w:val="4"/>
      </w:pPr>
      <w:r>
        <w:t>（二）学习互动情况</w:t>
      </w:r>
    </w:p>
    <w:p w14:paraId="6A35F910">
      <w:pPr>
        <w:pStyle w:val="16"/>
        <w:numPr>
          <w:ilvl w:val="0"/>
          <w:numId w:val="9"/>
        </w:numPr>
      </w:pPr>
      <w:r>
        <w:rPr>
          <w:b/>
          <w:bCs/>
        </w:rPr>
        <w:t>同学互动</w:t>
      </w:r>
      <w:r>
        <w:t>：学生在日常课程任务合作方面互动频繁，但科研与竞赛类互动参与度较低。各学院学生 “和同学合作完成课程任务和作业” 的 “总是” 和 “经常” 比例合计多超过 80%，如经济与管理学院达 83.48%；而 “和同学一起参与老师科研团队” 与 “和同学一起参加学科竞赛” 的积极互动比例明显偏低，计算机学院这两项 “总是” 和 “经常” 比例合计分别仅为 56.19% 和 50.47%，且 “从不” 参与比例较高。</w:t>
      </w:r>
    </w:p>
    <w:p w14:paraId="57CB6701">
      <w:pPr>
        <w:pStyle w:val="16"/>
        <w:numPr>
          <w:ilvl w:val="0"/>
          <w:numId w:val="9"/>
        </w:numPr>
      </w:pPr>
      <w:r>
        <w:rPr>
          <w:b/>
          <w:bCs/>
        </w:rPr>
        <w:t>师生互动</w:t>
      </w:r>
      <w:r>
        <w:t>：师生课下交流频度以每月或每学期一次为主，且与年级、满意度存在关联。多数学院近七成学生与老师交流频率集中在每月至少一次及以上，如物理与机电工程学院 36.44% 的学生每周至少交流一次。高年级学生交流频率相对较低，2021 级每周交流比例普遍高于 2024 级，如教育科学学院 2021 级每周交流比例 55.47%，2024 级仅 34.68%。同时，教学满意度与课下交流频度呈正相关，非常满意教学的学生每周交流比例显著高于满意度一般的学生，建筑与材料工程学院非常满意教学的学生每周交流比例达 50.45%，而满意度一般的学生仅 17.46%。</w:t>
      </w:r>
    </w:p>
    <w:p w14:paraId="2EF98F0B">
      <w:pPr>
        <w:pStyle w:val="3"/>
      </w:pPr>
      <w:r>
        <w:t>四、课程与教学评价</w:t>
      </w:r>
    </w:p>
    <w:p w14:paraId="088E9C91">
      <w:pPr>
        <w:pStyle w:val="4"/>
      </w:pPr>
      <w:r>
        <w:t>（一）课程满意度</w:t>
      </w:r>
    </w:p>
    <w:p w14:paraId="5D17810F">
      <w:pPr>
        <w:pStyle w:val="16"/>
        <w:numPr>
          <w:ilvl w:val="0"/>
          <w:numId w:val="10"/>
        </w:numPr>
      </w:pPr>
      <w:r>
        <w:rPr>
          <w:b/>
          <w:bCs/>
        </w:rPr>
        <w:t>思想政治课</w:t>
      </w:r>
      <w:r>
        <w:t>：学生对思想政治课总体满意度较高，各维度评价以积极反馈为主。多数学院思想政治课 “非常满意” 和 “比较满意” 合计占比超过 80%，如建筑与材料工程学院教学质量满意度最高，合计达 88.13%；但部分学院教学形式和教学效果存在改进空间，化学与生命科学学院教学形式 “一般” 评价占比达 17.1%，新闻与传播学院教学形式与教学效果的不满意比例分别为 14.22% 和 12.84%。</w:t>
      </w:r>
    </w:p>
    <w:p w14:paraId="5DE60499">
      <w:pPr>
        <w:pStyle w:val="16"/>
        <w:numPr>
          <w:ilvl w:val="0"/>
          <w:numId w:val="10"/>
        </w:numPr>
      </w:pPr>
      <w:r>
        <w:rPr>
          <w:b/>
          <w:bCs/>
        </w:rPr>
        <w:t>专业课</w:t>
      </w:r>
      <w:r>
        <w:t>：专业课在知识、能力与素养融合等维度获得较高认可，但课程挑战性评价相对较低。各学院专业课 “知识、能力、素养融合”“复杂问题解决能力培养” 等维度的 “非常符合” 与 “比较符合” 比例多超过 85%，如建筑与材料工程学院知识、能力、素养融合的积极反馈比例达 89.36%；而 “需要非常努力才能达到课程要求” 的 “非常符合” 比例相对较低，且 “一般” 比例较高，数学与统计学院该维度 “一般” 比例达 20.06%，反映部分学生认为课程挑战性有待提升。</w:t>
      </w:r>
    </w:p>
    <w:p w14:paraId="36CC4C1F">
      <w:pPr>
        <w:pStyle w:val="4"/>
      </w:pPr>
      <w:r>
        <w:t>（二）教学方式评价</w:t>
      </w:r>
    </w:p>
    <w:p w14:paraId="53961D64">
      <w:pPr>
        <w:pStyle w:val="16"/>
      </w:pPr>
      <w:r>
        <w:t>学生对互动式教学方式认可度较高，但传统讲授仍占一定比重。各学院 “提供案例或实例讨论”“课堂中加入互动环节”“采用小组合作的项目式教学方式” 的 “非常符合” 与 “比较符合” 比例多超过 85%，如新闻与传播学院这三项的正面评价占比均超过 90%；而 “课程以传统的教师讲授为主” 的正面评价相对较低，外国语学院仅为 74.45%，说明传统讲授模式仍有优化空间。</w:t>
      </w:r>
    </w:p>
    <w:p w14:paraId="2E361963">
      <w:pPr>
        <w:pStyle w:val="4"/>
      </w:pPr>
      <w:r>
        <w:t>（三）考核方式评价</w:t>
      </w:r>
    </w:p>
    <w:p w14:paraId="0FCD9B71">
      <w:pPr>
        <w:pStyle w:val="16"/>
      </w:pPr>
      <w:r>
        <w:t>卷面考试是主流考核方式，其他考核方式也有一定覆盖。各学院卷面考试参与比例普遍超过 90%，如物理与机电工程学院达 93.85%，体育学院达 90.51%；随堂提问或测试、课程论文或实验报告、课堂展示等考核方式参与比例也较高，多数学院超过 80%，反映出考核方式逐渐呈现多元化趋势，但传统考核方式仍占据主导地位。</w:t>
      </w:r>
    </w:p>
    <w:p w14:paraId="30EC7225">
      <w:pPr>
        <w:pStyle w:val="3"/>
      </w:pPr>
      <w:r>
        <w:t>五、活动参与与实习实践</w:t>
      </w:r>
    </w:p>
    <w:p w14:paraId="1BEC4270">
      <w:pPr>
        <w:pStyle w:val="4"/>
      </w:pPr>
      <w:r>
        <w:t>（一）活动参与情况</w:t>
      </w:r>
    </w:p>
    <w:p w14:paraId="1C1EBCFA">
      <w:pPr>
        <w:pStyle w:val="16"/>
        <w:numPr>
          <w:ilvl w:val="0"/>
          <w:numId w:val="11"/>
        </w:numPr>
      </w:pPr>
      <w:r>
        <w:rPr>
          <w:b/>
          <w:bCs/>
        </w:rPr>
        <w:t>参与率</w:t>
      </w:r>
      <w:r>
        <w:t>：学生对校园文化活动、社会实践活动参与率较高，国际交流活动参与率显著偏低。各学院校园文化活动、社会实践活动未参与率多低于 10%，如经济与管理学院社会实践活动未参与率仅 3.55%；而国际交流活动未参与率普遍较高，教育科学学院达 19.38%，新闻与传播学院达 19.42%，且部分学院国际交流活动 “一般” 评价占比也较高。</w:t>
      </w:r>
    </w:p>
    <w:p w14:paraId="3E1BE1E0">
      <w:pPr>
        <w:pStyle w:val="16"/>
        <w:numPr>
          <w:ilvl w:val="0"/>
          <w:numId w:val="11"/>
        </w:numPr>
      </w:pPr>
      <w:r>
        <w:rPr>
          <w:b/>
          <w:bCs/>
        </w:rPr>
        <w:t>满意度</w:t>
      </w:r>
      <w:r>
        <w:t>：参与活动的学生整体满意度较高，国际交流活动满意度相对较低。社会实践活动满意度普遍较高，经济与管理学院社会实践活动 “非常满意” 占比 41.66%；而国际交流活动 “非常满意” 比例较低，建筑与材料工程学院仅 40.99%，且部分学院国际交流活动不满意比例相对较高。</w:t>
      </w:r>
    </w:p>
    <w:p w14:paraId="0519DFE2">
      <w:pPr>
        <w:pStyle w:val="4"/>
      </w:pPr>
      <w:r>
        <w:t>（二）实习实践评价</w:t>
      </w:r>
    </w:p>
    <w:p w14:paraId="3EBA84F9">
      <w:pPr>
        <w:pStyle w:val="16"/>
      </w:pPr>
      <w:r>
        <w:t>实习实践整体满意度较高，但部分环节存在改进空间。各学院实习实践内容、时间安排、指导情况和场地设备的 “非常满意” 与 “比较满意” 合计占比多超过 80%，如建筑与材料工程学院实习实践指导情况满意度最高，合计达 85.58%；但部分学院实习实践场地及设备、时间安排的 “一般” 及以下评价占比相对较高，化学与生命科学学院生物制药专业实习实践满意度相对较低，教育科学学院实习实践时间安排的不满意率达 3.44%。</w:t>
      </w:r>
    </w:p>
    <w:p w14:paraId="51E1EB27">
      <w:pPr>
        <w:pStyle w:val="3"/>
      </w:pPr>
      <w:r>
        <w:t>六、资源条件与学生服务评价</w:t>
      </w:r>
    </w:p>
    <w:p w14:paraId="111F2126">
      <w:pPr>
        <w:pStyle w:val="4"/>
      </w:pPr>
      <w:r>
        <w:t>（一）资源条件满意度</w:t>
      </w:r>
    </w:p>
    <w:p w14:paraId="047C4DB1">
      <w:pPr>
        <w:pStyle w:val="16"/>
        <w:numPr>
          <w:ilvl w:val="0"/>
          <w:numId w:val="12"/>
        </w:numPr>
      </w:pPr>
      <w:r>
        <w:rPr>
          <w:b/>
          <w:bCs/>
        </w:rPr>
        <w:t>优势资源</w:t>
      </w:r>
      <w:r>
        <w:t>：学生对图书馆资源、教师及教学设备满意度较高。多数学院图书馆资源、教师及教学设备的 “非常满意” 与 “比较符合” 合计占比超过 85%，如物理与机电工程学院图书馆资源 “非常满意” 占比 52.33%，教师及教学设备 “非常满意” 占比 51.79%。</w:t>
      </w:r>
    </w:p>
    <w:p w14:paraId="370F2474">
      <w:pPr>
        <w:pStyle w:val="16"/>
        <w:numPr>
          <w:ilvl w:val="0"/>
          <w:numId w:val="12"/>
        </w:numPr>
      </w:pPr>
      <w:r>
        <w:rPr>
          <w:b/>
          <w:bCs/>
        </w:rPr>
        <w:t>薄弱环节</w:t>
      </w:r>
      <w:r>
        <w:t>：住宿条件满意度显著低于其他资源类别。各学院住宿条件 “非常满意” 与 “比较满意” 合计占比相对较低，且 “一般” 及以下评价占比明显较高，建筑与材料工程学院住宿条件 “一般” 及以下评价占比达 20.76%，文学院住宿条件不满意比例是其他项目的 3-15 倍，反映出住宿条件是当前资源条件中的主要短板。</w:t>
      </w:r>
    </w:p>
    <w:p w14:paraId="4CBEBEB9">
      <w:pPr>
        <w:pStyle w:val="4"/>
      </w:pPr>
      <w:r>
        <w:t>（二）学生服务满意度</w:t>
      </w:r>
    </w:p>
    <w:p w14:paraId="5A72BAA4">
      <w:pPr>
        <w:pStyle w:val="16"/>
        <w:numPr>
          <w:ilvl w:val="0"/>
          <w:numId w:val="13"/>
        </w:numPr>
      </w:pPr>
      <w:r>
        <w:rPr>
          <w:b/>
          <w:bCs/>
        </w:rPr>
        <w:t>优势服务</w:t>
      </w:r>
      <w:r>
        <w:t>：班主任 / 辅导员工作、学业指导、家庭经济困难学生资助等学生工作满意度较高。各学院这几项工作的 “非常满意” 与 “比较满意” 合计占比多超过 90%，如建筑与材料工程学院班主任辅导员工作满意度达 90.24%，经济与管理学院家庭经济困难学生资助工作满意度达 92.23%。</w:t>
      </w:r>
    </w:p>
    <w:p w14:paraId="2C9DBDD3">
      <w:pPr>
        <w:pStyle w:val="16"/>
        <w:numPr>
          <w:ilvl w:val="0"/>
          <w:numId w:val="13"/>
        </w:numPr>
      </w:pPr>
      <w:r>
        <w:rPr>
          <w:b/>
          <w:bCs/>
        </w:rPr>
        <w:t>待改进服务</w:t>
      </w:r>
      <w:r>
        <w:t>：职业生涯规划和就业创业指导、心理健康教育存在提升空间。部分学院职业生涯规划和就业创业指导的 “一般” 及以下评价占比相对较高，教育科学学院职业生涯规划指导满意度低于心理健康教育等服务，数学与统计学院职业生涯规划指导不满意比例达 1.85%；心理健康教育也需进一步加强个性化服务，教育科学学院心理健康教育 “一般” 评价占比达 19.46%。</w:t>
      </w:r>
    </w:p>
    <w:p w14:paraId="1FEA3578">
      <w:pPr>
        <w:pStyle w:val="3"/>
      </w:pPr>
      <w:r>
        <w:t>七、核心优势与主要问题</w:t>
      </w:r>
    </w:p>
    <w:p w14:paraId="4B0B72F4">
      <w:pPr>
        <w:pStyle w:val="4"/>
      </w:pPr>
      <w:r>
        <w:t>（一）核心优势</w:t>
      </w:r>
    </w:p>
    <w:p w14:paraId="5C327730">
      <w:pPr>
        <w:pStyle w:val="16"/>
        <w:numPr>
          <w:ilvl w:val="0"/>
          <w:numId w:val="14"/>
        </w:numPr>
      </w:pPr>
      <w:r>
        <w:rPr>
          <w:b/>
          <w:bCs/>
        </w:rPr>
        <w:t>学习基础扎实</w:t>
      </w:r>
      <w:r>
        <w:t>：学生在课前预学、课堂参与、课后复习等核心学习环节投入度高，综合积极反馈比例均超过 75%，课堂参与和课后复习表现尤为突出，为后续学习奠定良好基础。</w:t>
      </w:r>
    </w:p>
    <w:p w14:paraId="450B31B2">
      <w:pPr>
        <w:pStyle w:val="16"/>
        <w:numPr>
          <w:ilvl w:val="0"/>
          <w:numId w:val="14"/>
        </w:numPr>
      </w:pPr>
      <w:r>
        <w:rPr>
          <w:b/>
          <w:bCs/>
        </w:rPr>
        <w:t>教学质量与教师表现优秀</w:t>
      </w:r>
      <w:r>
        <w:t>：思想政治课和专业课在教学内容、形式、质量和效果等方面均获得学生高度认可，教师的师德师风、教学投入、关心学生及各项教学行为均得到超过九成学生的积极评价，总体教学满意度极高。</w:t>
      </w:r>
    </w:p>
    <w:p w14:paraId="1A51EA79">
      <w:pPr>
        <w:pStyle w:val="16"/>
        <w:numPr>
          <w:ilvl w:val="0"/>
          <w:numId w:val="14"/>
        </w:numPr>
      </w:pPr>
      <w:r>
        <w:rPr>
          <w:b/>
          <w:bCs/>
        </w:rPr>
        <w:t>核心素养与能力提升成效显著</w:t>
      </w:r>
      <w:r>
        <w:t>：学生普遍认可在校期间在分析问题与解决问题能力、自主学习能力、合作能力、书面表达和沟通能力等方面的提升，核心素养中健康生活、责任担当和自我提升方面满意度突出。</w:t>
      </w:r>
    </w:p>
    <w:p w14:paraId="3F8564A9">
      <w:pPr>
        <w:pStyle w:val="16"/>
        <w:numPr>
          <w:ilvl w:val="0"/>
          <w:numId w:val="14"/>
        </w:numPr>
      </w:pPr>
      <w:r>
        <w:rPr>
          <w:b/>
          <w:bCs/>
        </w:rPr>
        <w:t>实习实践与学业指导支持有力</w:t>
      </w:r>
      <w:r>
        <w:t>：实习实践各环节（除部分学院场地设备略逊）均获得较高满意度，学业指导服务覆盖率高，学校或学院提供的辅导课程、任课教师帮助是主要有效渠道。</w:t>
      </w:r>
    </w:p>
    <w:p w14:paraId="055A19E9">
      <w:pPr>
        <w:pStyle w:val="16"/>
        <w:numPr>
          <w:ilvl w:val="0"/>
          <w:numId w:val="14"/>
        </w:numPr>
      </w:pPr>
      <w:r>
        <w:rPr>
          <w:b/>
          <w:bCs/>
        </w:rPr>
        <w:t>学生工作与服务保障到位</w:t>
      </w:r>
      <w:r>
        <w:t>：班主任辅导员工作、学业指导、家庭经济困难学生资助等学生工作满意度高，“一站式” 服务、教师参与学生活动、学术讲座数量等方面获得学生广泛认同。</w:t>
      </w:r>
    </w:p>
    <w:p w14:paraId="43110E64">
      <w:pPr>
        <w:pStyle w:val="4"/>
      </w:pPr>
      <w:r>
        <w:t>（二）主要问题</w:t>
      </w:r>
    </w:p>
    <w:p w14:paraId="67EBC446">
      <w:pPr>
        <w:pStyle w:val="16"/>
        <w:numPr>
          <w:ilvl w:val="0"/>
          <w:numId w:val="15"/>
        </w:numPr>
      </w:pPr>
      <w:r>
        <w:rPr>
          <w:b/>
          <w:bCs/>
        </w:rPr>
        <w:t>学习互动深度与广度不足</w:t>
      </w:r>
      <w:r>
        <w:t>：日常课程任务合作表现突出，但科研团队参与和学科竞赛合作的互动参与度低，“从不” 参与比例较高，不利于学生创新能力和科研素养培养。</w:t>
      </w:r>
    </w:p>
    <w:p w14:paraId="5B5D0A43">
      <w:pPr>
        <w:pStyle w:val="16"/>
        <w:numPr>
          <w:ilvl w:val="0"/>
          <w:numId w:val="15"/>
        </w:numPr>
      </w:pPr>
      <w:r>
        <w:rPr>
          <w:b/>
          <w:bCs/>
        </w:rPr>
        <w:t>课程挑战性与高阶思维培养欠缺</w:t>
      </w:r>
      <w:r>
        <w:t>：专业课在课程难度和挑战性方面评价相对较低，部分学生认为课程难度偏低，不利于激发学生深度学习和创造性思考。</w:t>
      </w:r>
    </w:p>
    <w:p w14:paraId="5711ABC4">
      <w:pPr>
        <w:pStyle w:val="16"/>
        <w:numPr>
          <w:ilvl w:val="0"/>
          <w:numId w:val="15"/>
        </w:numPr>
      </w:pPr>
      <w:r>
        <w:rPr>
          <w:b/>
          <w:bCs/>
        </w:rPr>
        <w:t>学术延伸与实践创新有待加强</w:t>
      </w:r>
      <w:r>
        <w:t>：学生延伸阅读主动性不足，核心素养中实践创新和学会学习维度满意度略低，实践教学环节需进一步优化，以提升学生创新思维和动手能力。</w:t>
      </w:r>
    </w:p>
    <w:p w14:paraId="5FA130AF">
      <w:pPr>
        <w:pStyle w:val="16"/>
        <w:numPr>
          <w:ilvl w:val="0"/>
          <w:numId w:val="15"/>
        </w:numPr>
      </w:pPr>
      <w:r>
        <w:rPr>
          <w:b/>
          <w:bCs/>
        </w:rPr>
        <w:t>师生课外交流频度与深度不够</w:t>
      </w:r>
      <w:r>
        <w:t>：尽管多数学生能保持一定的课下交流频率，但仍有部分学生交流频度较低，高年级学生交流频率呈下降趋势，师生互动机制需进一步完善。</w:t>
      </w:r>
    </w:p>
    <w:p w14:paraId="122FB03E">
      <w:pPr>
        <w:pStyle w:val="16"/>
        <w:numPr>
          <w:ilvl w:val="0"/>
          <w:numId w:val="15"/>
        </w:numPr>
      </w:pPr>
      <w:r>
        <w:rPr>
          <w:b/>
          <w:bCs/>
        </w:rPr>
        <w:t>特定群体关注与资源优化不足</w:t>
      </w:r>
      <w:r>
        <w:t>：群众学生教学体验需提升，国际交流活动普及度和满意度低，住宿条件满意度显著低于其他资源，这些问题影响部分学生的学习生活体验。</w:t>
      </w:r>
    </w:p>
    <w:p w14:paraId="2508F96A">
      <w:pPr>
        <w:pStyle w:val="3"/>
      </w:pPr>
      <w:r>
        <w:t>八、改进建议</w:t>
      </w:r>
    </w:p>
    <w:p w14:paraId="40BFB49F">
      <w:pPr>
        <w:pStyle w:val="16"/>
        <w:numPr>
          <w:ilvl w:val="0"/>
          <w:numId w:val="16"/>
        </w:numPr>
      </w:pPr>
      <w:r>
        <w:rPr>
          <w:b/>
          <w:bCs/>
        </w:rPr>
        <w:t>拓展学习互动深度与广度</w:t>
      </w:r>
      <w:r>
        <w:t>：加强科研入门引导，鼓励教师吸纳本科生参与科研项目，设立跨年级科研导师制；积极组织和支持学科竞赛团队建设，降低参与门槛，设立竞赛学分奖励机制，营造合作科研与竞赛的良好氛围。</w:t>
      </w:r>
    </w:p>
    <w:p w14:paraId="1827F9F6">
      <w:pPr>
        <w:pStyle w:val="16"/>
        <w:numPr>
          <w:ilvl w:val="0"/>
          <w:numId w:val="16"/>
        </w:numPr>
      </w:pPr>
      <w:r>
        <w:rPr>
          <w:b/>
          <w:bCs/>
        </w:rPr>
        <w:t>提升课程挑战性与高阶思维培养</w:t>
      </w:r>
      <w:r>
        <w:t>：适当提高部分专业课的难度和挑战度，设计更多开放性、探究性学习任务，增加课程论文、科研项目等考核比重，鼓励学生进行创造性思考，激发深度学习兴趣。</w:t>
      </w:r>
    </w:p>
    <w:p w14:paraId="53BDA063">
      <w:pPr>
        <w:pStyle w:val="16"/>
        <w:numPr>
          <w:ilvl w:val="0"/>
          <w:numId w:val="16"/>
        </w:numPr>
      </w:pPr>
      <w:r>
        <w:rPr>
          <w:b/>
          <w:bCs/>
        </w:rPr>
        <w:t>加强学术延伸与实践创新</w:t>
      </w:r>
      <w:r>
        <w:t>：进一步引导学生拓展专业阅读，提供更丰富的延伸阅读资源和指引，将延伸阅读纳入课程评价体系；加强实践教学环节，增加实践课程比重，鼓励创新思维和动手能力培养，优化学习方法指导。</w:t>
      </w:r>
    </w:p>
    <w:p w14:paraId="5C788023">
      <w:pPr>
        <w:pStyle w:val="16"/>
        <w:numPr>
          <w:ilvl w:val="0"/>
          <w:numId w:val="16"/>
        </w:numPr>
      </w:pPr>
      <w:r>
        <w:rPr>
          <w:b/>
          <w:bCs/>
        </w:rPr>
        <w:t>完善师生课外交流机制</w:t>
      </w:r>
      <w:r>
        <w:t>：鼓励教师设立固定的答疑时间，搭建更多师生互动平台，如学术沙龙、专题研讨等；针对高年级学生，完善专业导师制，加强与学生的学术交流和职业规划指导，提升师生交流频度与深度。</w:t>
      </w:r>
    </w:p>
    <w:p w14:paraId="142F759C">
      <w:pPr>
        <w:pStyle w:val="16"/>
        <w:numPr>
          <w:ilvl w:val="0"/>
          <w:numId w:val="16"/>
        </w:numPr>
      </w:pPr>
      <w:r>
        <w:rPr>
          <w:b/>
          <w:bCs/>
        </w:rPr>
        <w:t>关注特定群体与优化资源配置</w:t>
      </w:r>
      <w:r>
        <w:t>：关注群众学生的学习需求，提供更具针对性的学习支持和教学服务；加强国际交流项目的宣传与推广，提供更多元化、低成本的国际交流机会；重视学生对住宿条件的反馈，在可能的情况下逐步改善住宿环境与配套设施，提升学生居住体验。</w:t>
      </w:r>
    </w:p>
    <w:p w14:paraId="76B2B70A">
      <w:pPr>
        <w:pStyle w:val="16"/>
        <w:numPr>
          <w:ilvl w:val="0"/>
          <w:numId w:val="16"/>
        </w:numPr>
      </w:pPr>
      <w:r>
        <w:rPr>
          <w:b/>
          <w:bCs/>
        </w:rPr>
        <w:t>优化学生服务与职业指导</w:t>
      </w:r>
      <w:r>
        <w:t>：加强职业生涯规划师资培训，建立校企合作实践平台，增加个性化职业咨询服务，提升职业生涯规划和就业创业指导质量；加强心理健康教育服务的主动性和个性化，建立学生心理健康档案，及时关注学生心理动态。</w:t>
      </w:r>
    </w:p>
    <w:p w14:paraId="68DFE30B">
      <w:pPr>
        <w:pStyle w:val="17"/>
        <w:pBdr>
          <w:left w:val="single" w:color="BBBFC4" w:sz="18" w:space="0"/>
        </w:pBdr>
      </w:pPr>
      <w:r>
        <w:t>（注：文档部分内容可能由 AI 生成）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8" w:hanging="288"/>
      </w:pPr>
      <w:rPr>
        <w:color w:val="3370FF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720" w:hanging="288"/>
      </w:pPr>
      <w:rPr>
        <w:color w:val="3370FF"/>
        <w:sz w:val="22"/>
        <w:szCs w:val="22"/>
      </w:rPr>
    </w:lvl>
    <w:lvl w:ilvl="2" w:tentative="0">
      <w:start w:val="1"/>
      <w:numFmt w:val="lowerRoman"/>
      <w:lvlText w:val="%3."/>
      <w:lvlJc w:val="left"/>
      <w:pPr>
        <w:ind w:left="1152" w:hanging="288"/>
      </w:pPr>
      <w:rPr>
        <w:color w:val="3370FF"/>
        <w:sz w:val="22"/>
        <w:szCs w:val="22"/>
      </w:rPr>
    </w:lvl>
    <w:lvl w:ilvl="3" w:tentative="0">
      <w:start w:val="1"/>
      <w:numFmt w:val="decimal"/>
      <w:lvlText w:val="%4."/>
      <w:lvlJc w:val="left"/>
      <w:pPr>
        <w:ind w:left="1583" w:hanging="288"/>
      </w:pPr>
      <w:rPr>
        <w:color w:val="3370FF"/>
        <w:sz w:val="22"/>
        <w:szCs w:val="22"/>
      </w:rPr>
    </w:lvl>
    <w:lvl w:ilvl="4" w:tentative="0">
      <w:start w:val="1"/>
      <w:numFmt w:val="lowerLetter"/>
      <w:lvlText w:val="%5."/>
      <w:lvlJc w:val="left"/>
      <w:pPr>
        <w:ind w:left="2015" w:hanging="288"/>
      </w:pPr>
      <w:rPr>
        <w:color w:val="3370FF"/>
        <w:sz w:val="22"/>
        <w:szCs w:val="22"/>
      </w:rPr>
    </w:lvl>
    <w:lvl w:ilvl="5" w:tentative="0">
      <w:start w:val="1"/>
      <w:numFmt w:val="lowerRoman"/>
      <w:lvlText w:val="%6."/>
      <w:lvlJc w:val="left"/>
      <w:pPr>
        <w:ind w:left="2448" w:hanging="288"/>
      </w:pPr>
      <w:rPr>
        <w:color w:val="3370FF"/>
        <w:sz w:val="22"/>
        <w:szCs w:val="22"/>
      </w:rPr>
    </w:lvl>
    <w:lvl w:ilvl="6" w:tentative="0">
      <w:start w:val="1"/>
      <w:numFmt w:val="decimal"/>
      <w:lvlText w:val="%7."/>
      <w:lvlJc w:val="left"/>
      <w:pPr>
        <w:ind w:left="2879" w:hanging="288"/>
      </w:pPr>
      <w:rPr>
        <w:color w:val="3370FF"/>
        <w:sz w:val="22"/>
        <w:szCs w:val="22"/>
      </w:rPr>
    </w:lvl>
    <w:lvl w:ilvl="7" w:tentative="0">
      <w:start w:val="1"/>
      <w:numFmt w:val="lowerLetter"/>
      <w:lvlText w:val="%8."/>
      <w:lvlJc w:val="left"/>
      <w:pPr>
        <w:ind w:left="3312" w:hanging="288"/>
      </w:pPr>
      <w:rPr>
        <w:color w:val="3370FF"/>
        <w:sz w:val="22"/>
        <w:szCs w:val="22"/>
      </w:rPr>
    </w:lvl>
    <w:lvl w:ilvl="8" w:tentative="0">
      <w:start w:val="1"/>
      <w:numFmt w:val="lowerRoman"/>
      <w:lvlText w:val="%9."/>
      <w:lvlJc w:val="left"/>
      <w:pPr>
        <w:ind w:left="3744" w:hanging="288"/>
      </w:pPr>
      <w:rPr>
        <w:color w:val="3370FF"/>
        <w:sz w:val="22"/>
        <w:szCs w:val="22"/>
      </w:rPr>
    </w:lvl>
  </w:abstractNum>
  <w:abstractNum w:abstractNumId="1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288" w:hanging="288"/>
      </w:pPr>
      <w:rPr>
        <w:color w:val="3370FF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720" w:hanging="288"/>
      </w:pPr>
      <w:rPr>
        <w:color w:val="3370FF"/>
        <w:sz w:val="22"/>
        <w:szCs w:val="22"/>
      </w:rPr>
    </w:lvl>
    <w:lvl w:ilvl="2" w:tentative="0">
      <w:start w:val="1"/>
      <w:numFmt w:val="lowerRoman"/>
      <w:lvlText w:val="%3."/>
      <w:lvlJc w:val="left"/>
      <w:pPr>
        <w:ind w:left="1152" w:hanging="288"/>
      </w:pPr>
      <w:rPr>
        <w:color w:val="3370FF"/>
        <w:sz w:val="22"/>
        <w:szCs w:val="22"/>
      </w:rPr>
    </w:lvl>
    <w:lvl w:ilvl="3" w:tentative="0">
      <w:start w:val="1"/>
      <w:numFmt w:val="decimal"/>
      <w:lvlText w:val="%4."/>
      <w:lvlJc w:val="left"/>
      <w:pPr>
        <w:ind w:left="1583" w:hanging="288"/>
      </w:pPr>
      <w:rPr>
        <w:color w:val="3370FF"/>
        <w:sz w:val="22"/>
        <w:szCs w:val="22"/>
      </w:rPr>
    </w:lvl>
    <w:lvl w:ilvl="4" w:tentative="0">
      <w:start w:val="1"/>
      <w:numFmt w:val="lowerLetter"/>
      <w:lvlText w:val="%5."/>
      <w:lvlJc w:val="left"/>
      <w:pPr>
        <w:ind w:left="2015" w:hanging="288"/>
      </w:pPr>
      <w:rPr>
        <w:color w:val="3370FF"/>
        <w:sz w:val="22"/>
        <w:szCs w:val="22"/>
      </w:rPr>
    </w:lvl>
    <w:lvl w:ilvl="5" w:tentative="0">
      <w:start w:val="1"/>
      <w:numFmt w:val="lowerRoman"/>
      <w:lvlText w:val="%6."/>
      <w:lvlJc w:val="left"/>
      <w:pPr>
        <w:ind w:left="2448" w:hanging="288"/>
      </w:pPr>
      <w:rPr>
        <w:color w:val="3370FF"/>
        <w:sz w:val="22"/>
        <w:szCs w:val="22"/>
      </w:rPr>
    </w:lvl>
    <w:lvl w:ilvl="6" w:tentative="0">
      <w:start w:val="1"/>
      <w:numFmt w:val="decimal"/>
      <w:lvlText w:val="%7."/>
      <w:lvlJc w:val="left"/>
      <w:pPr>
        <w:ind w:left="2879" w:hanging="288"/>
      </w:pPr>
      <w:rPr>
        <w:color w:val="3370FF"/>
        <w:sz w:val="22"/>
        <w:szCs w:val="22"/>
      </w:rPr>
    </w:lvl>
    <w:lvl w:ilvl="7" w:tentative="0">
      <w:start w:val="1"/>
      <w:numFmt w:val="lowerLetter"/>
      <w:lvlText w:val="%8."/>
      <w:lvlJc w:val="left"/>
      <w:pPr>
        <w:ind w:left="3312" w:hanging="288"/>
      </w:pPr>
      <w:rPr>
        <w:color w:val="3370FF"/>
        <w:sz w:val="22"/>
        <w:szCs w:val="22"/>
      </w:rPr>
    </w:lvl>
    <w:lvl w:ilvl="8" w:tentative="0">
      <w:start w:val="1"/>
      <w:numFmt w:val="lowerRoman"/>
      <w:lvlText w:val="%9."/>
      <w:lvlJc w:val="left"/>
      <w:pPr>
        <w:ind w:left="3744" w:hanging="288"/>
      </w:pPr>
      <w:rPr>
        <w:color w:val="3370FF"/>
        <w:sz w:val="22"/>
        <w:szCs w:val="22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42153E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4918</Words>
  <Characters>5296</Characters>
  <TotalTime>4</TotalTime>
  <ScaleCrop>false</ScaleCrop>
  <LinksUpToDate>false</LinksUpToDate>
  <CharactersWithSpaces>5515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2025-10-31T06:55:00Z</dcterms:created>
  <dc:creator>Un-named</dc:creator>
  <cp:lastModifiedBy>王锐</cp:lastModifiedBy>
  <dcterms:modified xsi:type="dcterms:W3CDTF">2025-10-31T07:13:09Z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eyJoZGlkIjoiYTRhYTk5NjYxMDc0OWM2MzUzYTY1YWNiZTgzMTc5ZGMiLCJ1c2VySWQiOiI4MDI1NzUyMzcifQ==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BACECD740C0B4492BCB065A51ECEB155_13</vt:lpwstr>
  </property>
</Properties>
</file>